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>AGOSTO 2015 DATOS  ESTIMADOS DEL BALANCE HÍDRICO EN LA RIA DE LOS PRÍNCIPES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  </w:t>
      </w:r>
      <w:bookmarkStart w:id="0" w:name="_GoBack"/>
      <w:bookmarkEnd w:id="0"/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Superficie de </w:t>
      </w:r>
      <w:proofErr w:type="spellStart"/>
      <w:r>
        <w:rPr>
          <w:rFonts w:ascii="Verdana" w:hAnsi="Verdana" w:cs="Verdana"/>
          <w:lang w:val="es-ES"/>
        </w:rPr>
        <w:t>ria</w:t>
      </w:r>
      <w:proofErr w:type="spellEnd"/>
      <w:r>
        <w:rPr>
          <w:rFonts w:ascii="Verdana" w:hAnsi="Verdana" w:cs="Verdana"/>
          <w:lang w:val="es-ES"/>
        </w:rPr>
        <w:t xml:space="preserve">-------------------------------- ≈ </w:t>
      </w:r>
      <w:r>
        <w:rPr>
          <w:rFonts w:ascii="Verdana" w:hAnsi="Verdana" w:cs="Verdana"/>
          <w:b/>
          <w:bCs/>
          <w:lang w:val="es-ES"/>
        </w:rPr>
        <w:t>3.698</w:t>
      </w:r>
      <w:r>
        <w:rPr>
          <w:rFonts w:ascii="Verdana" w:hAnsi="Verdana" w:cs="Verdana"/>
          <w:lang w:val="es-ES"/>
        </w:rPr>
        <w:t xml:space="preserve"> m²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 Altura de lámina de agua---------------------- ≈ </w:t>
      </w:r>
      <w:r>
        <w:rPr>
          <w:rFonts w:ascii="Verdana" w:hAnsi="Verdana" w:cs="Verdana"/>
          <w:b/>
          <w:bCs/>
          <w:lang w:val="es-ES"/>
        </w:rPr>
        <w:t>1´20</w:t>
      </w:r>
      <w:r>
        <w:rPr>
          <w:rFonts w:ascii="Verdana" w:hAnsi="Verdana" w:cs="Verdana"/>
          <w:lang w:val="es-ES"/>
        </w:rPr>
        <w:t xml:space="preserve"> m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 Capacidad--------------------------------------- ≈ </w:t>
      </w:r>
      <w:r>
        <w:rPr>
          <w:rFonts w:ascii="Verdana" w:hAnsi="Verdana" w:cs="Verdana"/>
          <w:b/>
          <w:bCs/>
          <w:lang w:val="es-ES"/>
        </w:rPr>
        <w:t>4.437´6</w:t>
      </w:r>
      <w:r>
        <w:rPr>
          <w:rFonts w:ascii="Verdana" w:hAnsi="Verdana" w:cs="Verdana"/>
          <w:lang w:val="es-ES"/>
        </w:rPr>
        <w:t xml:space="preserve"> m³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 Caudal bomba de extracción------------------- ≈ </w:t>
      </w:r>
      <w:r>
        <w:rPr>
          <w:rFonts w:ascii="Verdana" w:hAnsi="Verdana" w:cs="Verdana"/>
          <w:b/>
          <w:bCs/>
          <w:lang w:val="es-ES"/>
        </w:rPr>
        <w:t>2</w:t>
      </w:r>
      <w:r>
        <w:rPr>
          <w:rFonts w:ascii="Verdana" w:hAnsi="Verdana" w:cs="Verdana"/>
          <w:lang w:val="es-ES"/>
        </w:rPr>
        <w:t xml:space="preserve"> litros/ segundo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 Aportación--------------------------------------- ≈ </w:t>
      </w:r>
      <w:r>
        <w:rPr>
          <w:rFonts w:ascii="Verdana" w:hAnsi="Verdana" w:cs="Verdana"/>
          <w:b/>
          <w:bCs/>
          <w:lang w:val="es-ES"/>
        </w:rPr>
        <w:t xml:space="preserve">172´8 </w:t>
      </w:r>
      <w:r>
        <w:rPr>
          <w:rFonts w:ascii="Verdana" w:hAnsi="Verdana" w:cs="Verdana"/>
          <w:lang w:val="es-ES"/>
        </w:rPr>
        <w:t> m³/ día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 Consumo ---------------------------------------- ≈ </w:t>
      </w:r>
      <w:r>
        <w:rPr>
          <w:rFonts w:ascii="Verdana" w:hAnsi="Verdana" w:cs="Verdana"/>
          <w:b/>
          <w:bCs/>
          <w:lang w:val="es-ES"/>
        </w:rPr>
        <w:t xml:space="preserve">180 </w:t>
      </w:r>
      <w:r>
        <w:rPr>
          <w:rFonts w:ascii="Verdana" w:hAnsi="Verdana" w:cs="Verdana"/>
          <w:lang w:val="es-ES"/>
        </w:rPr>
        <w:t> m³/ día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 xml:space="preserve"> Evaporación-------------------------------------- ≈  </w:t>
      </w:r>
      <w:r>
        <w:rPr>
          <w:rFonts w:ascii="Verdana" w:hAnsi="Verdana" w:cs="Verdana"/>
          <w:b/>
          <w:bCs/>
          <w:lang w:val="es-ES"/>
        </w:rPr>
        <w:t>37</w:t>
      </w:r>
      <w:r>
        <w:rPr>
          <w:rFonts w:ascii="Verdana" w:hAnsi="Verdana" w:cs="Verdana"/>
          <w:lang w:val="es-ES"/>
        </w:rPr>
        <w:t>  m³/ día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lang w:val="es-ES"/>
        </w:rPr>
        <w:t> </w:t>
      </w:r>
      <w:r>
        <w:rPr>
          <w:rFonts w:ascii="Verdana" w:hAnsi="Verdana" w:cs="Verdana"/>
          <w:sz w:val="26"/>
          <w:szCs w:val="26"/>
          <w:lang w:val="es-ES"/>
        </w:rPr>
        <w:t>Consumo semanal ≈180</w:t>
      </w:r>
      <w:r>
        <w:rPr>
          <w:rFonts w:ascii="Verdana" w:hAnsi="Verdana" w:cs="Verdana"/>
          <w:b/>
          <w:bCs/>
          <w:sz w:val="26"/>
          <w:szCs w:val="26"/>
          <w:lang w:val="es-ES"/>
        </w:rPr>
        <w:t xml:space="preserve"> </w:t>
      </w:r>
      <w:r>
        <w:rPr>
          <w:rFonts w:ascii="Verdana" w:hAnsi="Verdana" w:cs="Verdana"/>
          <w:sz w:val="26"/>
          <w:szCs w:val="26"/>
          <w:lang w:val="es-ES"/>
        </w:rPr>
        <w:t>m³/día x 4 días de riego + 37 m³/día x 7 días =</w:t>
      </w:r>
      <w:r>
        <w:rPr>
          <w:rFonts w:ascii="Verdana" w:hAnsi="Verdana" w:cs="Verdana"/>
          <w:b/>
          <w:bCs/>
          <w:sz w:val="26"/>
          <w:szCs w:val="26"/>
          <w:lang w:val="es-ES"/>
        </w:rPr>
        <w:t>979 m³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b/>
          <w:bCs/>
          <w:sz w:val="26"/>
          <w:szCs w:val="26"/>
          <w:lang w:val="es-ES"/>
        </w:rPr>
        <w:t> </w:t>
      </w:r>
      <w:r>
        <w:rPr>
          <w:rFonts w:ascii="Verdana" w:hAnsi="Verdana" w:cs="Verdana"/>
          <w:sz w:val="26"/>
          <w:szCs w:val="26"/>
          <w:lang w:val="es-ES"/>
        </w:rPr>
        <w:t>Aportación semanal ≈172´8</w:t>
      </w:r>
      <w:r>
        <w:rPr>
          <w:rFonts w:ascii="Verdana" w:hAnsi="Verdana" w:cs="Verdana"/>
          <w:b/>
          <w:bCs/>
          <w:sz w:val="26"/>
          <w:szCs w:val="26"/>
          <w:lang w:val="es-ES"/>
        </w:rPr>
        <w:t xml:space="preserve"> </w:t>
      </w:r>
      <w:r>
        <w:rPr>
          <w:rFonts w:ascii="Verdana" w:hAnsi="Verdana" w:cs="Verdana"/>
          <w:sz w:val="26"/>
          <w:szCs w:val="26"/>
          <w:lang w:val="es-ES"/>
        </w:rPr>
        <w:t xml:space="preserve">m³/día x 7 días = </w:t>
      </w:r>
      <w:r>
        <w:rPr>
          <w:rFonts w:ascii="Verdana" w:hAnsi="Verdana" w:cs="Verdana"/>
          <w:b/>
          <w:bCs/>
          <w:sz w:val="26"/>
          <w:szCs w:val="26"/>
          <w:lang w:val="es-ES"/>
        </w:rPr>
        <w:t>1.209</w:t>
      </w:r>
      <w:r>
        <w:rPr>
          <w:rFonts w:ascii="Calibri" w:hAnsi="Calibri" w:cs="Calibri"/>
          <w:b/>
          <w:bCs/>
          <w:sz w:val="26"/>
          <w:szCs w:val="26"/>
          <w:lang w:val="es-ES"/>
        </w:rPr>
        <w:t>´</w:t>
      </w:r>
      <w:r>
        <w:rPr>
          <w:rFonts w:ascii="Verdana" w:hAnsi="Verdana" w:cs="Verdana"/>
          <w:b/>
          <w:bCs/>
          <w:sz w:val="26"/>
          <w:szCs w:val="26"/>
          <w:lang w:val="es-ES"/>
        </w:rPr>
        <w:t>6</w:t>
      </w:r>
      <w:r>
        <w:rPr>
          <w:rFonts w:ascii="Verdana" w:hAnsi="Verdana" w:cs="Verdana"/>
          <w:sz w:val="26"/>
          <w:szCs w:val="26"/>
          <w:lang w:val="es-ES"/>
        </w:rPr>
        <w:t xml:space="preserve"> </w:t>
      </w:r>
      <w:r>
        <w:rPr>
          <w:rFonts w:ascii="Verdana" w:hAnsi="Verdana" w:cs="Verdana"/>
          <w:b/>
          <w:bCs/>
          <w:sz w:val="26"/>
          <w:szCs w:val="26"/>
          <w:lang w:val="es-ES"/>
        </w:rPr>
        <w:t>m³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b/>
          <w:bCs/>
          <w:sz w:val="26"/>
          <w:szCs w:val="26"/>
          <w:lang w:val="es-ES"/>
        </w:rPr>
        <w:t> 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Verdana" w:hAnsi="Verdana" w:cs="Verdana"/>
          <w:b/>
          <w:bCs/>
          <w:sz w:val="26"/>
          <w:szCs w:val="26"/>
          <w:lang w:val="es-ES"/>
        </w:rPr>
        <w:t> 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Verdana" w:hAnsi="Verdana" w:cs="Verdana"/>
          <w:b/>
          <w:bCs/>
          <w:lang w:val="es-ES"/>
        </w:rPr>
      </w:pPr>
      <w:r>
        <w:rPr>
          <w:rFonts w:ascii="Verdana" w:hAnsi="Verdana" w:cs="Verdana"/>
          <w:b/>
          <w:bCs/>
          <w:lang w:val="es-ES"/>
        </w:rPr>
        <w:t xml:space="preserve">Balance hídrico= </w:t>
      </w:r>
      <w:r>
        <w:rPr>
          <w:rFonts w:ascii="Verdana" w:hAnsi="Verdana" w:cs="Verdana"/>
          <w:lang w:val="es-ES"/>
        </w:rPr>
        <w:t>1.209</w:t>
      </w:r>
      <w:r>
        <w:rPr>
          <w:rFonts w:ascii="Calibri" w:hAnsi="Calibri" w:cs="Calibri"/>
          <w:lang w:val="es-ES"/>
        </w:rPr>
        <w:t>´</w:t>
      </w:r>
      <w:r>
        <w:rPr>
          <w:rFonts w:ascii="Verdana" w:hAnsi="Verdana" w:cs="Verdana"/>
          <w:lang w:val="es-ES"/>
        </w:rPr>
        <w:t>6 m³ - 979 m³</w:t>
      </w:r>
      <w:r>
        <w:rPr>
          <w:rFonts w:ascii="Verdana" w:hAnsi="Verdana" w:cs="Verdana"/>
          <w:b/>
          <w:bCs/>
          <w:lang w:val="es-ES"/>
        </w:rPr>
        <w:t xml:space="preserve"> =  230</w:t>
      </w:r>
      <w:r>
        <w:rPr>
          <w:rFonts w:ascii="Calibri" w:hAnsi="Calibri" w:cs="Calibri"/>
          <w:b/>
          <w:bCs/>
          <w:lang w:val="es-ES"/>
        </w:rPr>
        <w:t>´</w:t>
      </w:r>
      <w:r>
        <w:rPr>
          <w:rFonts w:ascii="Verdana" w:hAnsi="Verdana" w:cs="Verdana"/>
          <w:b/>
          <w:bCs/>
          <w:lang w:val="es-ES"/>
        </w:rPr>
        <w:t>6 m³ semanales</w:t>
      </w:r>
    </w:p>
    <w:p w:rsidR="00536E62" w:rsidRDefault="00536E62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Helvetica" w:hAnsi="Helvetica" w:cs="Helvetica"/>
          <w:noProof/>
          <w:lang w:val="es-ES"/>
        </w:rPr>
        <w:lastRenderedPageBreak/>
        <w:drawing>
          <wp:inline distT="0" distB="0" distL="0" distR="0">
            <wp:extent cx="5612130" cy="51842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18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62" w:rsidRDefault="003464CD" w:rsidP="00536E62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lang w:val="es-ES"/>
        </w:rPr>
      </w:pPr>
      <w:r>
        <w:rPr>
          <w:rFonts w:ascii="Helvetica" w:hAnsi="Helvetica" w:cs="Helvetica"/>
          <w:lang w:val="es-ES"/>
        </w:rPr>
        <w:t>Diseña la naturalización</w:t>
      </w:r>
      <w:r w:rsidR="00536E62">
        <w:rPr>
          <w:rFonts w:ascii="Helvetica" w:hAnsi="Helvetica" w:cs="Helvetica"/>
          <w:lang w:val="es-ES"/>
        </w:rPr>
        <w:t xml:space="preserve"> del estanque de los príncipes de Sevilla según los </w:t>
      </w:r>
      <w:r>
        <w:rPr>
          <w:rFonts w:ascii="Helvetica" w:hAnsi="Helvetica" w:cs="Helvetica"/>
          <w:lang w:val="es-ES"/>
        </w:rPr>
        <w:t>conceptos desarrollados por el grupo Tar.</w:t>
      </w:r>
    </w:p>
    <w:p w:rsidR="00987FA1" w:rsidRDefault="00987FA1"/>
    <w:sectPr w:rsidR="00987FA1" w:rsidSect="00536E6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62"/>
    <w:rsid w:val="003464CD"/>
    <w:rsid w:val="00536E62"/>
    <w:rsid w:val="0098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52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E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E6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E6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E6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713</Characters>
  <Application>Microsoft Macintosh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Lebrato Marínez</dc:creator>
  <cp:keywords/>
  <dc:description/>
  <cp:lastModifiedBy>Julián Lebrato Marínez</cp:lastModifiedBy>
  <cp:revision>2</cp:revision>
  <dcterms:created xsi:type="dcterms:W3CDTF">2016-03-10T08:43:00Z</dcterms:created>
  <dcterms:modified xsi:type="dcterms:W3CDTF">2016-03-10T08:43:00Z</dcterms:modified>
</cp:coreProperties>
</file>